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Appeals Revision Transfer and Quashing a matter involving multiple persons or entities</w:t>
      </w:r>
    </w:p>
    <w:p>
      <w:pPr>
        <w:spacing w:before="0" w:after="160" w:line="269" w:lineRule="auto"/>
        <w:jc w:val="center"/>
      </w:pPr>
      <w:r>
        <w:rPr>
          <w:rFonts w:ascii="Times New Roman" w:hAnsi="Times New Roman"/>
          <w:b w:val="0"/>
          <w:i w:val="0"/>
          <w:color w:val="000000"/>
          <w:sz w:val="18"/>
        </w:rPr>
        <w:t>BNSS Law drafts  |  Appeals Revision Transfer and Quashing  |  Resource ID LAW-02-08-037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LAW-02-08-037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Appeals Revision Transfer and Quashing a matter involving multiple persons or entities</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